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582E" w:rsidRPr="00C8582E" w:rsidRDefault="00C8582E" w:rsidP="00C8582E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r w:rsidRPr="00C8582E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 xml:space="preserve">문항1. 비즈니스 분석을 수행하는 2가지 이유에 대해 </w:t>
      </w:r>
      <w:proofErr w:type="spellStart"/>
      <w:r w:rsidRPr="00C8582E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설명하시오</w:t>
      </w:r>
      <w:proofErr w:type="spellEnd"/>
      <w:r w:rsidRPr="00C8582E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(28점)</w:t>
      </w:r>
    </w:p>
    <w:p w:rsidR="00C8582E" w:rsidRPr="00C8582E" w:rsidRDefault="00C8582E" w:rsidP="00C8582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8582E" w:rsidRDefault="00C8582E" w:rsidP="00C8582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경영분석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경영비교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또는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경영비교분석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經營比較分析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기업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운영상태를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분석하여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기업경영의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양부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良否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판단하는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것을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말한다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경영의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양부를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판단할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경우에는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다른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동종기업과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비교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상호비교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하거나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당해기업의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과거의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기간과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비교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기간비교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하여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경영비교를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행하면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매우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편리하다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C8582E" w:rsidRDefault="00C8582E" w:rsidP="00C8582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C8582E" w:rsidRDefault="00C8582E" w:rsidP="00C8582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경영분석은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기업의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내부인이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상태의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양부를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분석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내부분석이라고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하거나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기업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외부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사람이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분석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외부분석이라고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하기도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내부분석은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경영상태의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양부를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검토하여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경영에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이바지하려는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것을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목적으로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하기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때문에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뜻에서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경영분석이라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C8582E" w:rsidRDefault="00C8582E" w:rsidP="00C8582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또한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금융기관은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대출할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경우에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기업이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필요로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금액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대출기한의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도래시에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변제능력의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유무를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분석한다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이것을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신용분석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信用分析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이라고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증권업자나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투자자가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투자할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경우에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투자의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유불리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有不利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),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투자의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안정성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등을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타진하기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위하여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분석을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행한다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투자분석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投資分析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)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또는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증권분석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證券分析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이라고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기업은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거래처의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경영분석을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행하고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노동조합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·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정부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·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직업적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전문가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등이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경영분석을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행한다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이들은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모두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기업외부의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것을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분석하는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것으로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외부분석이다</w:t>
      </w:r>
      <w:r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  <w:t>.</w:t>
      </w:r>
    </w:p>
    <w:p w:rsidR="00C8582E" w:rsidRDefault="00C8582E" w:rsidP="00C8582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경영분석에는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비율분석과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실수분석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實數分析：절대액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분석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의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가지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분석방법이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있다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(1)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비율분석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比率分析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 ― </w:t>
      </w:r>
      <w:r>
        <w:rPr>
          <w:rFonts w:ascii="맑은 고딕" w:eastAsia="맑은 고딕" w:hAnsi="맑은 고딕" w:cs="맑은 고딕" w:hint="eastAsia"/>
          <w:color w:val="000000"/>
          <w:sz w:val="23"/>
          <w:szCs w:val="23"/>
          <w:shd w:val="clear" w:color="auto" w:fill="FFFFFF"/>
        </w:rPr>
        <w:t>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수익성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분석을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위한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분석：총자본이익률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총자본이익률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매출순이익률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매출총이익률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또는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매출원가율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판매비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·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일반관리비율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영업외수익률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영업외비용률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총자본회전율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외상매출회전기간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현금예금회전기간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제품회전기간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제공품회전기간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재료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회전기간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고정자산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회전기간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color w:val="000000"/>
          <w:sz w:val="23"/>
          <w:szCs w:val="23"/>
          <w:shd w:val="clear" w:color="auto" w:fill="FFFFFF"/>
        </w:rPr>
        <w:t>②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유동성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분석을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위한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분석：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경영수지비율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외상매출금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회전기간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제품회전기간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제공품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회전기간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재료회전기간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외상매입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회전기간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유동비율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당좌비율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고정비율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장기자본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고정비율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장기고정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적합률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자기자본구성비율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(2)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실수분석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實數分析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 ― </w:t>
      </w:r>
      <w:r>
        <w:rPr>
          <w:rFonts w:ascii="맑은 고딕" w:eastAsia="맑은 고딕" w:hAnsi="맑은 고딕" w:cs="맑은 고딕" w:hint="eastAsia"/>
          <w:color w:val="000000"/>
          <w:sz w:val="23"/>
          <w:szCs w:val="23"/>
          <w:shd w:val="clear" w:color="auto" w:fill="FFFFFF"/>
        </w:rPr>
        <w:t>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수익성을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위한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실수분석：손익분기점분석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이익증감분석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>
        <w:rPr>
          <w:rFonts w:ascii="맑은 고딕" w:eastAsia="맑은 고딕" w:hAnsi="맑은 고딕" w:cs="맑은 고딕" w:hint="eastAsia"/>
          <w:color w:val="000000"/>
          <w:sz w:val="23"/>
          <w:szCs w:val="23"/>
          <w:shd w:val="clear" w:color="auto" w:fill="FFFFFF"/>
        </w:rPr>
        <w:t>②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유동성분석을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위한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실수분석：부지분기점분석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자금운용표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등의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자금표에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의한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분석과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같은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여러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비율과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실수분석은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동종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타기업이나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당해기업의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과거수치와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비교하는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것이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보통이다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C8582E" w:rsidRDefault="00C8582E" w:rsidP="00C8582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8582E" w:rsidRDefault="00C8582E" w:rsidP="00C8582E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3"/>
          <w:szCs w:val="23"/>
        </w:rPr>
      </w:pPr>
    </w:p>
    <w:p w:rsidR="00C8582E" w:rsidRDefault="00C8582E" w:rsidP="00C8582E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3"/>
          <w:szCs w:val="23"/>
        </w:rPr>
      </w:pPr>
    </w:p>
    <w:p w:rsidR="00C8582E" w:rsidRDefault="00C8582E" w:rsidP="00C8582E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3"/>
          <w:szCs w:val="23"/>
        </w:rPr>
      </w:pPr>
    </w:p>
    <w:p w:rsidR="00C8582E" w:rsidRDefault="00C8582E" w:rsidP="00C8582E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3"/>
          <w:szCs w:val="23"/>
        </w:rPr>
      </w:pPr>
    </w:p>
    <w:p w:rsidR="00C8582E" w:rsidRDefault="00C8582E" w:rsidP="00C8582E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3"/>
          <w:szCs w:val="23"/>
        </w:rPr>
      </w:pPr>
    </w:p>
    <w:p w:rsidR="00C8582E" w:rsidRDefault="00C8582E" w:rsidP="00C8582E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3"/>
          <w:szCs w:val="23"/>
        </w:rPr>
      </w:pPr>
    </w:p>
    <w:p w:rsidR="00C8582E" w:rsidRDefault="00C8582E" w:rsidP="00C8582E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3"/>
          <w:szCs w:val="23"/>
        </w:rPr>
      </w:pPr>
    </w:p>
    <w:p w:rsidR="00C8582E" w:rsidRDefault="00C8582E" w:rsidP="00C8582E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3"/>
          <w:szCs w:val="23"/>
        </w:rPr>
      </w:pPr>
    </w:p>
    <w:p w:rsidR="00C8582E" w:rsidRDefault="00C8582E" w:rsidP="00C8582E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3"/>
          <w:szCs w:val="23"/>
        </w:rPr>
      </w:pPr>
    </w:p>
    <w:p w:rsidR="00C8582E" w:rsidRDefault="00C8582E" w:rsidP="00C8582E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3"/>
          <w:szCs w:val="23"/>
        </w:rPr>
      </w:pPr>
      <w:r>
        <w:rPr>
          <w:rFonts w:ascii="돋움" w:eastAsia="돋움" w:hAnsi="돋움" w:hint="eastAsia"/>
          <w:b w:val="0"/>
          <w:bCs w:val="0"/>
          <w:color w:val="565665"/>
          <w:sz w:val="23"/>
          <w:szCs w:val="23"/>
        </w:rPr>
        <w:lastRenderedPageBreak/>
        <w:t xml:space="preserve">문항2. 비즈니스 모델 캔버스의 9가지 관점 대해 제시하고, 키워드에 대한 개념을 </w:t>
      </w:r>
      <w:proofErr w:type="spellStart"/>
      <w:r>
        <w:rPr>
          <w:rFonts w:ascii="돋움" w:eastAsia="돋움" w:hAnsi="돋움" w:hint="eastAsia"/>
          <w:b w:val="0"/>
          <w:bCs w:val="0"/>
          <w:color w:val="565665"/>
          <w:sz w:val="23"/>
          <w:szCs w:val="23"/>
        </w:rPr>
        <w:t>설명하시오</w:t>
      </w:r>
      <w:proofErr w:type="spellEnd"/>
      <w:r>
        <w:rPr>
          <w:rFonts w:ascii="돋움" w:eastAsia="돋움" w:hAnsi="돋움" w:hint="eastAsia"/>
          <w:b w:val="0"/>
          <w:bCs w:val="0"/>
          <w:color w:val="565665"/>
          <w:sz w:val="23"/>
          <w:szCs w:val="23"/>
        </w:rPr>
        <w:t>(72점)</w:t>
      </w:r>
    </w:p>
    <w:p w:rsidR="00C8582E" w:rsidRPr="00C8582E" w:rsidRDefault="00C8582E" w:rsidP="00C8582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13F14E9" wp14:editId="44FE36FD">
            <wp:extent cx="5391150" cy="35909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82E" w:rsidRDefault="00C8582E" w:rsidP="00C8582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8582E" w:rsidRPr="00C8582E" w:rsidRDefault="00C8582E" w:rsidP="00C8582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</w:p>
    <w:p w:rsidR="005403F8" w:rsidRPr="00C8582E" w:rsidRDefault="00C8582E" w:rsidP="00C8582E">
      <w:pPr>
        <w:pStyle w:val="a3"/>
        <w:numPr>
          <w:ilvl w:val="0"/>
          <w:numId w:val="1"/>
        </w:numPr>
        <w:ind w:leftChars="0"/>
        <w:rPr>
          <w:rStyle w:val="se-fs-fs16"/>
          <w:rFonts w:ascii="Arial" w:hAnsi="Arial" w:cs="Arial"/>
          <w:color w:val="000000"/>
          <w:shd w:val="clear" w:color="auto" w:fill="FFFFFF"/>
        </w:rPr>
      </w:pPr>
      <w:r w:rsidRPr="00C8582E">
        <w:rPr>
          <w:rStyle w:val="se-fs-fs16"/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플랫폼</w:t>
      </w:r>
      <w:r w:rsidRPr="00C8582E">
        <w:rPr>
          <w:rStyle w:val="se-fs-fs16"/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비즈니스모델</w:t>
      </w:r>
      <w:r w:rsidRPr="00C8582E">
        <w:rPr>
          <w:rFonts w:ascii="Arial" w:hAnsi="Arial" w:cs="Arial"/>
          <w:color w:val="000000"/>
          <w:shd w:val="clear" w:color="auto" w:fill="FFFFFF"/>
        </w:rPr>
        <w:br/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플랫폼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비즈니스모델은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공통적이고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반복적으로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사용하는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기반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모듈을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구축해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다양한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이해관계자가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편리하게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상호작용하도록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연결하는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유형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’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이라고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정의할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있습니다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. 2018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년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글로벌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시장가치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10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대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기업에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이름을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올린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애플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,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구글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,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마이크로소프트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,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페이스북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알리바바</w:t>
      </w:r>
      <w:proofErr w:type="spellEnd"/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등과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최근에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급성장한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스타트업의</w:t>
      </w:r>
      <w:proofErr w:type="spellEnd"/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대부분이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이러한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플랫폼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비즈니스모델을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포함하고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있습니다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그렇다면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플랫폼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비즈니스모델은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어떻게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구축할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있을까요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?</w:t>
      </w:r>
      <w:r w:rsidRPr="00C8582E">
        <w:rPr>
          <w:rFonts w:ascii="Arial" w:hAnsi="Arial" w:cs="Arial"/>
          <w:color w:val="000000"/>
        </w:rPr>
        <w:br/>
      </w:r>
      <w:r w:rsidRPr="00C8582E">
        <w:rPr>
          <w:rFonts w:ascii="Arial" w:hAnsi="Arial" w:cs="Arial"/>
          <w:color w:val="000000"/>
        </w:rPr>
        <w:br/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가장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기본적인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것은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다수의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판매자와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구매자가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편리하게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거래할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있는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기반을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제공하는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방식입니다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아마존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등의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e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마켓플레이스나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음식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배달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등의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O2O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서비스가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대표적인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사례입니다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한편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,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친구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,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동료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,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동호인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등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동질적인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사람들이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편리하게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교류할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있는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기반을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제공하는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것도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플랫폼이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됩니다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페이스북이나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트위터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등의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소셜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네트워크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서비스가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대표적인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사례입니다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그런가</w:t>
      </w:r>
      <w:proofErr w:type="spellEnd"/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하면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,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많은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사람들이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이용하는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제품이나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서비스도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제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3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자에게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새로운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가치를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제공하는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플랫폼이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될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있습니다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수많은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네티즌의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관심이나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정보를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다른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기업에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연결하는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구글의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검색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서비스가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대표적인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사례입니다</w:t>
      </w:r>
      <w:r w:rsidRPr="00C8582E">
        <w:rPr>
          <w:rStyle w:val="se-fs-fs16"/>
          <w:rFonts w:ascii="Arial" w:hAnsi="Arial" w:cs="Arial"/>
          <w:color w:val="000000"/>
          <w:shd w:val="clear" w:color="auto" w:fill="FFFFFF"/>
        </w:rPr>
        <w:t>.</w:t>
      </w:r>
    </w:p>
    <w:p w:rsidR="00C8582E" w:rsidRPr="00C8582E" w:rsidRDefault="00C8582E" w:rsidP="00C8582E">
      <w:pPr>
        <w:pStyle w:val="a3"/>
        <w:numPr>
          <w:ilvl w:val="0"/>
          <w:numId w:val="1"/>
        </w:numPr>
        <w:ind w:leftChars="0"/>
        <w:rPr>
          <w:rStyle w:val="se-fs-fs16"/>
        </w:rPr>
      </w:pPr>
      <w:r>
        <w:rPr>
          <w:rStyle w:val="se-fs-"/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공유경제</w:t>
      </w:r>
      <w:r>
        <w:rPr>
          <w:rStyle w:val="se-fs-"/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 xml:space="preserve"> </w:t>
      </w:r>
      <w:r>
        <w:rPr>
          <w:rStyle w:val="se-fs-"/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비즈니스모델</w:t>
      </w:r>
      <w:r>
        <w:rPr>
          <w:rFonts w:ascii="Arial" w:hAnsi="Arial" w:cs="Arial"/>
          <w:color w:val="000000"/>
        </w:rPr>
        <w:br/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공유경제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비즈니스모델은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소유가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아닌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사용의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개념에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입각해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다수의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소비자가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재화를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협업해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소비할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있도록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지원하는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유형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’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이라고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정의할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있습니다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미래학자인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제레미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shd w:val="clear" w:color="auto" w:fill="FFFFFF"/>
        </w:rPr>
        <w:lastRenderedPageBreak/>
        <w:t>리프킨은</w:t>
      </w:r>
      <w:proofErr w:type="spellEnd"/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“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머지않아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소유의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시대가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막을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내리고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접근이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경제활동의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중심이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되는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시대가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열릴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것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”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이라고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했습니다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가치보다는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공유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교환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및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재활용을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통해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사용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가치를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극대화하는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일이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더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shd w:val="clear" w:color="auto" w:fill="FFFFFF"/>
        </w:rPr>
        <w:t>중요해진다는</w:t>
      </w:r>
      <w:proofErr w:type="spellEnd"/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것입니다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그렇다면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공유경제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비즈니스모델은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어떻게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개발할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있을까요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먼저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소비자가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자기의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재화를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다른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소비자에게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대여할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있도록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중개하는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것입니다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민박을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중개하는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shd w:val="clear" w:color="auto" w:fill="FFFFFF"/>
        </w:rPr>
        <w:t>에어비앤비나</w:t>
      </w:r>
      <w:proofErr w:type="spellEnd"/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자가용을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중개하는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우버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등이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대표적인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사례입니다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더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나아가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소비자가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자기의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재화를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다른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소비자에게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판매하도록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중개할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수도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있습니다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중고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물품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거래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사이트가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대표적인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사례입니다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한편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여러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소비자가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처음부터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재화를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소유하지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않고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공동으로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이용하게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수도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있습니다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자동차에서는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우리나라의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shd w:val="clear" w:color="auto" w:fill="FFFFFF"/>
        </w:rPr>
        <w:t>쏘카와</w:t>
      </w:r>
      <w:proofErr w:type="spellEnd"/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같은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방식의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원조인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미국의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shd w:val="clear" w:color="auto" w:fill="FFFFFF"/>
        </w:rPr>
        <w:t>집카가</w:t>
      </w:r>
      <w:proofErr w:type="spellEnd"/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대표적인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사례입니다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.</w:t>
      </w:r>
    </w:p>
    <w:p w:rsidR="00C8582E" w:rsidRPr="00C8582E" w:rsidRDefault="00C8582E" w:rsidP="00C8582E">
      <w:pPr>
        <w:pStyle w:val="a3"/>
        <w:numPr>
          <w:ilvl w:val="0"/>
          <w:numId w:val="1"/>
        </w:numPr>
        <w:ind w:leftChars="0"/>
      </w:pPr>
      <w:proofErr w:type="spellStart"/>
      <w:r>
        <w:rPr>
          <w:rStyle w:val="se-fs-"/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롱테일</w:t>
      </w:r>
      <w:proofErr w:type="spellEnd"/>
      <w:r>
        <w:rPr>
          <w:rStyle w:val="se-fs-"/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 xml:space="preserve"> </w:t>
      </w:r>
      <w:r>
        <w:rPr>
          <w:rStyle w:val="se-fs-"/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비즈니스모델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se-fs-fs16"/>
          <w:rFonts w:ascii="Arial" w:hAnsi="Arial" w:cs="Arial"/>
          <w:color w:val="000000"/>
          <w:shd w:val="clear" w:color="auto" w:fill="FFFFFF"/>
        </w:rPr>
        <w:t>롱테일</w:t>
      </w:r>
      <w:proofErr w:type="spellEnd"/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비즈니스모델은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구매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비중이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낮은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수많은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소액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고객이나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판매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빈도가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적은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수많은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틈새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상품의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거래에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주력하는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유형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’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입니다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Style w:val="se-fs-fs16"/>
          <w:rFonts w:ascii="Arial" w:hAnsi="Arial" w:cs="Arial"/>
          <w:color w:val="000000"/>
          <w:shd w:val="clear" w:color="auto" w:fill="FFFFFF"/>
        </w:rPr>
        <w:t>롱테일의</w:t>
      </w:r>
      <w:proofErr w:type="spellEnd"/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개념을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주창한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크리스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앤더슨은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소수의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히트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상품을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대량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판매하던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방식에서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다수의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틈새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상품을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소량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판매하는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형태로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변해갈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것이라고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했습니다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그렇다면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무형의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미디어가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아닌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유형의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제품을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중심으로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한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shd w:val="clear" w:color="auto" w:fill="FFFFFF"/>
        </w:rPr>
        <w:t>롱테일</w:t>
      </w:r>
      <w:proofErr w:type="spellEnd"/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비즈니스모델은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어떻게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운영할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있을까요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첫째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다품종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소량의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제품을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자체적으로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개발해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생산하고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판매할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있습니다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둘째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외부에서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개발한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다품종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소량의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제품을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자체적으로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생산해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판매할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수도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있습니다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셋째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외부에서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개발하고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생</w:t>
      </w:r>
      <w:bookmarkStart w:id="0" w:name="_GoBack"/>
      <w:bookmarkEnd w:id="0"/>
      <w:r>
        <w:rPr>
          <w:rStyle w:val="se-fs-fs16"/>
          <w:rFonts w:ascii="Arial" w:hAnsi="Arial" w:cs="Arial"/>
          <w:color w:val="000000"/>
          <w:shd w:val="clear" w:color="auto" w:fill="FFFFFF"/>
        </w:rPr>
        <w:t>산한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다품종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소량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제품의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판매를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중개할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수도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있습니다</w:t>
      </w:r>
      <w:r>
        <w:rPr>
          <w:rStyle w:val="se-fs-fs16"/>
          <w:rFonts w:ascii="Arial" w:hAnsi="Arial" w:cs="Arial"/>
          <w:color w:val="000000"/>
          <w:shd w:val="clear" w:color="auto" w:fill="FFFFFF"/>
        </w:rPr>
        <w:t>.</w:t>
      </w:r>
    </w:p>
    <w:sectPr w:rsidR="00C8582E" w:rsidRPr="00C858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F01D2"/>
    <w:multiLevelType w:val="hybridMultilevel"/>
    <w:tmpl w:val="39668EC0"/>
    <w:lvl w:ilvl="0" w:tplc="E5D0DC54">
      <w:start w:val="1"/>
      <w:numFmt w:val="decimal"/>
      <w:lvlText w:val="%1."/>
      <w:lvlJc w:val="left"/>
      <w:pPr>
        <w:ind w:left="790" w:hanging="390"/>
      </w:pPr>
      <w:rPr>
        <w:rFonts w:hint="default"/>
        <w:b/>
        <w:sz w:val="29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2E"/>
    <w:rsid w:val="005403F8"/>
    <w:rsid w:val="00C8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8D01"/>
  <w15:chartTrackingRefBased/>
  <w15:docId w15:val="{5B92A783-3F9F-49C4-AE9A-920A1209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C8582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C8582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C8582E"/>
  </w:style>
  <w:style w:type="character" w:customStyle="1" w:styleId="2Char">
    <w:name w:val="제목 2 Char"/>
    <w:basedOn w:val="a0"/>
    <w:link w:val="2"/>
    <w:uiPriority w:val="9"/>
    <w:rsid w:val="00C8582E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se-fs-fs16">
    <w:name w:val="se-fs-fs16"/>
    <w:basedOn w:val="a0"/>
    <w:rsid w:val="00C8582E"/>
  </w:style>
  <w:style w:type="paragraph" w:styleId="a3">
    <w:name w:val="List Paragraph"/>
    <w:basedOn w:val="a"/>
    <w:uiPriority w:val="34"/>
    <w:qFormat/>
    <w:rsid w:val="00C8582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2022-03-21T03:18:00Z</dcterms:created>
  <dcterms:modified xsi:type="dcterms:W3CDTF">2022-03-21T03:23:00Z</dcterms:modified>
</cp:coreProperties>
</file>