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26" w:rsidRPr="00F96D26" w:rsidRDefault="00F96D26">
      <w:pPr>
        <w:rPr>
          <w:rFonts w:asciiTheme="minorEastAsia" w:hAnsiTheme="minorEastAsia" w:hint="eastAsia"/>
          <w:b/>
          <w:szCs w:val="20"/>
        </w:rPr>
      </w:pPr>
      <w:r w:rsidRPr="00F96D26">
        <w:rPr>
          <w:rFonts w:asciiTheme="minorEastAsia" w:hAnsiTheme="minorEastAsia"/>
          <w:b/>
          <w:szCs w:val="20"/>
        </w:rPr>
        <w:t>문항1</w:t>
      </w:r>
      <w:proofErr w:type="gramStart"/>
      <w:r w:rsidRPr="00F96D26">
        <w:rPr>
          <w:rFonts w:asciiTheme="minorEastAsia" w:hAnsiTheme="minorEastAsia"/>
          <w:b/>
          <w:szCs w:val="20"/>
        </w:rPr>
        <w:t>.일반</w:t>
      </w:r>
      <w:proofErr w:type="gramEnd"/>
      <w:r w:rsidRPr="00F96D26">
        <w:rPr>
          <w:rFonts w:asciiTheme="minorEastAsia" w:hAnsiTheme="minorEastAsia"/>
          <w:b/>
          <w:szCs w:val="20"/>
        </w:rPr>
        <w:t xml:space="preserve"> 악성코드와 </w:t>
      </w:r>
      <w:proofErr w:type="spellStart"/>
      <w:r w:rsidRPr="00F96D26">
        <w:rPr>
          <w:rFonts w:asciiTheme="minorEastAsia" w:hAnsiTheme="minorEastAsia"/>
          <w:b/>
          <w:szCs w:val="20"/>
        </w:rPr>
        <w:t>랜섬웨어의</w:t>
      </w:r>
      <w:proofErr w:type="spellEnd"/>
      <w:r w:rsidRPr="00F96D26">
        <w:rPr>
          <w:rFonts w:asciiTheme="minorEastAsia" w:hAnsiTheme="minorEastAsia"/>
          <w:b/>
          <w:szCs w:val="20"/>
        </w:rPr>
        <w:t xml:space="preserve"> 차이점에 대해 설명하시오. (40점)</w:t>
      </w:r>
    </w:p>
    <w:p w:rsidR="00F96D26" w:rsidRPr="00F96D26" w:rsidRDefault="00F96D26">
      <w:pPr>
        <w:rPr>
          <w:rFonts w:asciiTheme="minorEastAsia" w:hAnsiTheme="minorEastAsia" w:hint="eastAsia"/>
          <w:szCs w:val="20"/>
        </w:rPr>
      </w:pPr>
    </w:p>
    <w:tbl>
      <w:tblPr>
        <w:tblW w:w="5000" w:type="pct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3608"/>
        <w:gridCol w:w="4432"/>
      </w:tblGrid>
      <w:tr w:rsidR="00F96D26" w:rsidRPr="00F96D26" w:rsidTr="00F96D26">
        <w:trPr>
          <w:trHeight w:val="167"/>
        </w:trPr>
        <w:tc>
          <w:tcPr>
            <w:tcW w:w="554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 w:line="167" w:lineRule="atLeast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구분</w:t>
            </w:r>
          </w:p>
        </w:tc>
        <w:tc>
          <w:tcPr>
            <w:tcW w:w="1995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 w:line="167" w:lineRule="atLeast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일반 악성코드</w:t>
            </w:r>
          </w:p>
        </w:tc>
        <w:tc>
          <w:tcPr>
            <w:tcW w:w="2452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 w:line="167" w:lineRule="atLeast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proofErr w:type="spellStart"/>
            <w:r w:rsidRPr="00F96D26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랜섬웨어</w:t>
            </w:r>
            <w:proofErr w:type="spellEnd"/>
          </w:p>
        </w:tc>
      </w:tr>
      <w:tr w:rsidR="00F96D26" w:rsidRPr="00F96D26" w:rsidTr="00F96D26">
        <w:trPr>
          <w:trHeight w:val="422"/>
        </w:trPr>
        <w:tc>
          <w:tcPr>
            <w:tcW w:w="554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유포</w:t>
            </w:r>
          </w:p>
        </w:tc>
        <w:tc>
          <w:tcPr>
            <w:tcW w:w="4446" w:type="pct"/>
            <w:gridSpan w:val="2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웹사이트, </w:t>
            </w:r>
            <w:proofErr w:type="spellStart"/>
            <w:r w:rsidRPr="00F96D26">
              <w:rPr>
                <w:rFonts w:asciiTheme="minorEastAsia" w:hAnsiTheme="minorEastAsia" w:cs="굴림"/>
                <w:kern w:val="0"/>
                <w:szCs w:val="20"/>
              </w:rPr>
              <w:t>이메일</w:t>
            </w:r>
            <w:proofErr w:type="spellEnd"/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, 네트워크 취약점 등 </w:t>
            </w:r>
            <w:r w:rsidRPr="00F96D26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유포방식 동일</w:t>
            </w:r>
          </w:p>
        </w:tc>
      </w:tr>
      <w:tr w:rsidR="00F96D26" w:rsidRPr="00F96D26" w:rsidTr="00F96D26">
        <w:trPr>
          <w:trHeight w:val="379"/>
        </w:trPr>
        <w:tc>
          <w:tcPr>
            <w:tcW w:w="554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감염</w:t>
            </w:r>
          </w:p>
        </w:tc>
        <w:tc>
          <w:tcPr>
            <w:tcW w:w="4446" w:type="pct"/>
            <w:gridSpan w:val="2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SW 취약점 또는 피해자의 실행으로 </w:t>
            </w:r>
            <w:r w:rsidRPr="00F96D26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악성코드 감염 동일</w:t>
            </w:r>
          </w:p>
        </w:tc>
      </w:tr>
      <w:tr w:rsidR="00F96D26" w:rsidRPr="00F96D26" w:rsidTr="00F96D26">
        <w:trPr>
          <w:trHeight w:val="335"/>
        </w:trPr>
        <w:tc>
          <w:tcPr>
            <w:tcW w:w="554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동작</w:t>
            </w:r>
          </w:p>
        </w:tc>
        <w:tc>
          <w:tcPr>
            <w:tcW w:w="1995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정보 및 파일 유출, </w:t>
            </w:r>
            <w:proofErr w:type="spellStart"/>
            <w:r w:rsidRPr="00F96D26">
              <w:rPr>
                <w:rFonts w:asciiTheme="minorEastAsia" w:hAnsiTheme="minorEastAsia" w:cs="굴림"/>
                <w:kern w:val="0"/>
                <w:szCs w:val="20"/>
              </w:rPr>
              <w:t>DDoS</w:t>
            </w:r>
            <w:proofErr w:type="spellEnd"/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 공격 등</w:t>
            </w:r>
          </w:p>
        </w:tc>
        <w:tc>
          <w:tcPr>
            <w:tcW w:w="2452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문서, 사진, MBR 등 데이터 </w:t>
            </w:r>
            <w:r w:rsidRPr="00F96D26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암호화</w:t>
            </w:r>
          </w:p>
        </w:tc>
      </w:tr>
      <w:tr w:rsidR="00F96D26" w:rsidRPr="00F96D26" w:rsidTr="00F96D26">
        <w:trPr>
          <w:trHeight w:val="2563"/>
        </w:trPr>
        <w:tc>
          <w:tcPr>
            <w:tcW w:w="554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after="368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대응</w:t>
            </w:r>
          </w:p>
        </w:tc>
        <w:tc>
          <w:tcPr>
            <w:tcW w:w="1995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before="100" w:beforeAutospacing="1" w:after="402"/>
              <w:jc w:val="center"/>
              <w:rPr>
                <w:rFonts w:asciiTheme="minorEastAsia" w:hAnsiTheme="minorEastAsia" w:cs="굴림" w:hint="eastAsia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악성코드 유포지 및 명령조정지(C&amp;C)서버 주소 차단</w:t>
            </w:r>
          </w:p>
          <w:p w:rsidR="00F96D26" w:rsidRPr="00F96D26" w:rsidRDefault="00F96D26" w:rsidP="00F96D26">
            <w:pPr>
              <w:widowControl/>
              <w:wordWrap/>
              <w:autoSpaceDE/>
              <w:autoSpaceDN/>
              <w:spacing w:before="100" w:beforeAutospacing="1" w:after="402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* C&amp;C: 해커가 악성코드에 감염된 PC에 원격으로 접속하기 위한 서버, PC로 악성코드 감염 시 C&amp;C에 연결되어 해커의 명령을 수행</w:t>
            </w:r>
          </w:p>
        </w:tc>
        <w:tc>
          <w:tcPr>
            <w:tcW w:w="2452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before="100" w:beforeAutospacing="1" w:after="402"/>
              <w:jc w:val="center"/>
              <w:rPr>
                <w:rFonts w:asciiTheme="minorEastAsia" w:hAnsiTheme="minorEastAsia" w:cs="굴림" w:hint="eastAsia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악성코드 유포지 및 명령조정지(C&amp;C)서버 주소 차단</w:t>
            </w:r>
          </w:p>
          <w:p w:rsidR="00F96D26" w:rsidRPr="00F96D26" w:rsidRDefault="00F96D26" w:rsidP="00F96D26">
            <w:pPr>
              <w:widowControl/>
              <w:wordWrap/>
              <w:autoSpaceDE/>
              <w:autoSpaceDN/>
              <w:spacing w:before="100" w:beforeAutospacing="1" w:after="402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*</w:t>
            </w:r>
            <w:proofErr w:type="spellStart"/>
            <w:r w:rsidRPr="00F96D26">
              <w:rPr>
                <w:rFonts w:asciiTheme="minorEastAsia" w:hAnsiTheme="minorEastAsia" w:cs="굴림"/>
                <w:kern w:val="0"/>
                <w:szCs w:val="20"/>
              </w:rPr>
              <w:t>복호화</w:t>
            </w:r>
            <w:proofErr w:type="spellEnd"/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 키가 저장된 서버(도메인/IP)와의 통신경로는 </w:t>
            </w:r>
            <w:proofErr w:type="spellStart"/>
            <w:r w:rsidRPr="00F96D26">
              <w:rPr>
                <w:rFonts w:asciiTheme="minorEastAsia" w:hAnsiTheme="minorEastAsia" w:cs="굴림"/>
                <w:kern w:val="0"/>
                <w:szCs w:val="20"/>
              </w:rPr>
              <w:t>미차단</w:t>
            </w:r>
            <w:proofErr w:type="spellEnd"/>
          </w:p>
        </w:tc>
      </w:tr>
      <w:tr w:rsidR="00F96D26" w:rsidRPr="00F96D26" w:rsidTr="00F96D26">
        <w:trPr>
          <w:trHeight w:val="335"/>
        </w:trPr>
        <w:tc>
          <w:tcPr>
            <w:tcW w:w="554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치료</w:t>
            </w:r>
          </w:p>
        </w:tc>
        <w:tc>
          <w:tcPr>
            <w:tcW w:w="1995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백신 등을 통해 악성코드 치료</w:t>
            </w:r>
          </w:p>
        </w:tc>
        <w:tc>
          <w:tcPr>
            <w:tcW w:w="2452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spacing w:before="100" w:beforeAutospacing="1" w:after="402"/>
              <w:jc w:val="center"/>
              <w:rPr>
                <w:rFonts w:asciiTheme="minorEastAsia" w:hAnsiTheme="minorEastAsia" w:cs="굴림" w:hint="eastAsia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백신 등을 통해 악성코드 치료</w:t>
            </w:r>
          </w:p>
          <w:p w:rsidR="00F96D26" w:rsidRPr="00F96D26" w:rsidRDefault="00F96D26" w:rsidP="00F96D26">
            <w:pPr>
              <w:widowControl/>
              <w:wordWrap/>
              <w:autoSpaceDE/>
              <w:autoSpaceDN/>
              <w:spacing w:before="100" w:beforeAutospacing="1" w:after="402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-&gt; 암호화된 파일은 복구 어려움</w:t>
            </w:r>
          </w:p>
        </w:tc>
      </w:tr>
      <w:tr w:rsidR="00F96D26" w:rsidRPr="00F96D26" w:rsidTr="00F96D26">
        <w:tc>
          <w:tcPr>
            <w:tcW w:w="554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피해</w:t>
            </w:r>
          </w:p>
        </w:tc>
        <w:tc>
          <w:tcPr>
            <w:tcW w:w="1995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>개인, 금융 정보 유출 및 이를 이용한 2차 공격으로 피해 발생</w:t>
            </w:r>
          </w:p>
        </w:tc>
        <w:tc>
          <w:tcPr>
            <w:tcW w:w="2452" w:type="pct"/>
            <w:tcBorders>
              <w:top w:val="single" w:sz="6" w:space="0" w:color="E6E6E6"/>
              <w:left w:val="single" w:sz="6" w:space="0" w:color="E6E6E6"/>
              <w:bottom w:val="outset" w:sz="6" w:space="0" w:color="auto"/>
              <w:right w:val="outset" w:sz="6" w:space="0" w:color="auto"/>
            </w:tcBorders>
            <w:tcMar>
              <w:top w:w="117" w:type="dxa"/>
              <w:left w:w="0" w:type="dxa"/>
              <w:bottom w:w="184" w:type="dxa"/>
              <w:right w:w="0" w:type="dxa"/>
            </w:tcMar>
            <w:vAlign w:val="center"/>
            <w:hideMark/>
          </w:tcPr>
          <w:p w:rsidR="00F96D26" w:rsidRPr="00F96D26" w:rsidRDefault="00F96D26" w:rsidP="00F96D26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암호화된 파일에 대한 </w:t>
            </w:r>
            <w:proofErr w:type="spellStart"/>
            <w:r w:rsidRPr="00F96D26">
              <w:rPr>
                <w:rFonts w:asciiTheme="minorEastAsia" w:hAnsiTheme="minorEastAsia" w:cs="굴림"/>
                <w:kern w:val="0"/>
                <w:szCs w:val="20"/>
              </w:rPr>
              <w:t>복호화를</w:t>
            </w:r>
            <w:proofErr w:type="spellEnd"/>
            <w:r w:rsidRPr="00F96D26">
              <w:rPr>
                <w:rFonts w:asciiTheme="minorEastAsia" w:hAnsiTheme="minorEastAsia" w:cs="굴림"/>
                <w:kern w:val="0"/>
                <w:szCs w:val="20"/>
              </w:rPr>
              <w:t xml:space="preserve"> 빌미로 </w:t>
            </w:r>
            <w:r w:rsidRPr="00F96D26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가상통화(비트코인 등)로 금전을 요구</w:t>
            </w:r>
          </w:p>
        </w:tc>
      </w:tr>
    </w:tbl>
    <w:p w:rsidR="00F96D26" w:rsidRPr="00F96D26" w:rsidRDefault="00F96D26">
      <w:pPr>
        <w:rPr>
          <w:rFonts w:asciiTheme="minorEastAsia" w:hAnsiTheme="minorEastAsia" w:hint="eastAsia"/>
          <w:szCs w:val="20"/>
        </w:rPr>
      </w:pPr>
    </w:p>
    <w:p w:rsidR="00F96D26" w:rsidRDefault="00F96D26">
      <w:pPr>
        <w:rPr>
          <w:rFonts w:asciiTheme="minorEastAsia" w:hAnsiTheme="minorEastAsia" w:hint="eastAsia"/>
          <w:szCs w:val="20"/>
        </w:rPr>
      </w:pPr>
    </w:p>
    <w:p w:rsidR="00F96D26" w:rsidRDefault="00F96D26">
      <w:pPr>
        <w:rPr>
          <w:rFonts w:asciiTheme="minorEastAsia" w:hAnsiTheme="minorEastAsia" w:hint="eastAsia"/>
          <w:szCs w:val="20"/>
        </w:rPr>
      </w:pPr>
    </w:p>
    <w:p w:rsidR="00F96D26" w:rsidRDefault="00F96D26">
      <w:pPr>
        <w:rPr>
          <w:rFonts w:asciiTheme="minorEastAsia" w:hAnsiTheme="minorEastAsia" w:hint="eastAsia"/>
          <w:szCs w:val="20"/>
        </w:rPr>
      </w:pPr>
    </w:p>
    <w:p w:rsidR="00F96D26" w:rsidRDefault="00F96D26">
      <w:pPr>
        <w:rPr>
          <w:rFonts w:asciiTheme="minorEastAsia" w:hAnsiTheme="minorEastAsia" w:hint="eastAsia"/>
          <w:szCs w:val="20"/>
        </w:rPr>
      </w:pPr>
    </w:p>
    <w:p w:rsidR="00F96D26" w:rsidRDefault="00F96D26">
      <w:pPr>
        <w:rPr>
          <w:rFonts w:asciiTheme="minorEastAsia" w:hAnsiTheme="minorEastAsia" w:hint="eastAsia"/>
          <w:szCs w:val="20"/>
        </w:rPr>
      </w:pPr>
    </w:p>
    <w:p w:rsidR="00F96D26" w:rsidRDefault="00F96D26">
      <w:pPr>
        <w:rPr>
          <w:rFonts w:asciiTheme="minorEastAsia" w:hAnsiTheme="minorEastAsia" w:hint="eastAsia"/>
          <w:szCs w:val="20"/>
        </w:rPr>
      </w:pPr>
    </w:p>
    <w:p w:rsidR="00F96D26" w:rsidRPr="00F96D26" w:rsidRDefault="00F96D26">
      <w:pPr>
        <w:rPr>
          <w:rFonts w:asciiTheme="minorEastAsia" w:hAnsiTheme="minorEastAsia" w:hint="eastAsia"/>
          <w:szCs w:val="20"/>
        </w:rPr>
      </w:pPr>
    </w:p>
    <w:p w:rsidR="00B805C9" w:rsidRPr="00F96D26" w:rsidRDefault="00F96D26">
      <w:pPr>
        <w:rPr>
          <w:rFonts w:asciiTheme="minorEastAsia" w:hAnsiTheme="minorEastAsia" w:hint="eastAsia"/>
          <w:b/>
          <w:szCs w:val="20"/>
        </w:rPr>
      </w:pPr>
      <w:r w:rsidRPr="00F96D26">
        <w:rPr>
          <w:rFonts w:asciiTheme="minorEastAsia" w:hAnsiTheme="minorEastAsia"/>
          <w:b/>
          <w:szCs w:val="20"/>
        </w:rPr>
        <w:lastRenderedPageBreak/>
        <w:t xml:space="preserve">문항2. </w:t>
      </w:r>
      <w:proofErr w:type="spellStart"/>
      <w:r w:rsidRPr="00F96D26">
        <w:rPr>
          <w:rFonts w:asciiTheme="minorEastAsia" w:hAnsiTheme="minorEastAsia"/>
          <w:b/>
          <w:szCs w:val="20"/>
        </w:rPr>
        <w:t>랜섬웨어</w:t>
      </w:r>
      <w:proofErr w:type="spellEnd"/>
      <w:r w:rsidRPr="00F96D26">
        <w:rPr>
          <w:rFonts w:asciiTheme="minorEastAsia" w:hAnsiTheme="minorEastAsia"/>
          <w:b/>
          <w:szCs w:val="20"/>
        </w:rPr>
        <w:t xml:space="preserve"> 감염을 최소화하는 6가지 예방법에 대한 설명을 서술하시오(60점)</w:t>
      </w:r>
    </w:p>
    <w:p w:rsidR="00F96D26" w:rsidRDefault="00F96D26">
      <w:pPr>
        <w:rPr>
          <w:rFonts w:asciiTheme="minorEastAsia" w:hAnsiTheme="minorEastAsia" w:hint="eastAsia"/>
          <w:szCs w:val="20"/>
        </w:rPr>
      </w:pPr>
    </w:p>
    <w:p w:rsidR="00F96D26" w:rsidRDefault="00F96D26" w:rsidP="00F96D26">
      <w:pPr>
        <w:pStyle w:val="a3"/>
        <w:shd w:val="clear" w:color="auto" w:fill="FFFFFF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1)</w:t>
      </w:r>
      <w:r w:rsidRPr="00F96D26">
        <w:rPr>
          <w:rFonts w:asciiTheme="minorEastAsia" w:eastAsiaTheme="minorEastAsia" w:hAnsiTheme="minorEastAsia"/>
          <w:sz w:val="20"/>
          <w:szCs w:val="20"/>
        </w:rPr>
        <w:t xml:space="preserve"> 플래시 플레이어(Flash Player)/</w:t>
      </w:r>
      <w:proofErr w:type="spellStart"/>
      <w:r w:rsidRPr="00F96D26">
        <w:rPr>
          <w:rFonts w:asciiTheme="minorEastAsia" w:eastAsiaTheme="minorEastAsia" w:hAnsiTheme="minorEastAsia"/>
          <w:sz w:val="20"/>
          <w:szCs w:val="20"/>
        </w:rPr>
        <w:t>어도비</w:t>
      </w:r>
      <w:proofErr w:type="spellEnd"/>
      <w:r w:rsidRPr="00F96D26">
        <w:rPr>
          <w:rFonts w:asciiTheme="minorEastAsia" w:eastAsiaTheme="minorEastAsia" w:hAnsiTheme="minorEastAsia"/>
          <w:sz w:val="20"/>
          <w:szCs w:val="20"/>
        </w:rPr>
        <w:t xml:space="preserve"> 리더(Adobe Reader)/자바(Java) 등을 항상 최신 버전으로 유지하는 것</w:t>
      </w:r>
    </w:p>
    <w:p w:rsidR="00F96D26" w:rsidRDefault="00F96D26" w:rsidP="00F96D26">
      <w:pPr>
        <w:pStyle w:val="a3"/>
        <w:shd w:val="clear" w:color="auto" w:fill="FFFFFF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2)</w:t>
      </w:r>
      <w:r w:rsidRPr="00F96D26">
        <w:rPr>
          <w:rFonts w:asciiTheme="minorEastAsia" w:eastAsiaTheme="minorEastAsia" w:hAnsiTheme="minorEastAsia"/>
          <w:sz w:val="20"/>
          <w:szCs w:val="20"/>
        </w:rPr>
        <w:t xml:space="preserve"> 인터넷 </w:t>
      </w:r>
      <w:proofErr w:type="spellStart"/>
      <w:r w:rsidRPr="00F96D26">
        <w:rPr>
          <w:rFonts w:asciiTheme="minorEastAsia" w:eastAsiaTheme="minorEastAsia" w:hAnsiTheme="minorEastAsia"/>
          <w:sz w:val="20"/>
          <w:szCs w:val="20"/>
        </w:rPr>
        <w:t>익스플로러</w:t>
      </w:r>
      <w:proofErr w:type="spellEnd"/>
      <w:r w:rsidRPr="00F96D26">
        <w:rPr>
          <w:rFonts w:asciiTheme="minorEastAsia" w:eastAsiaTheme="minorEastAsia" w:hAnsiTheme="minorEastAsia"/>
          <w:sz w:val="20"/>
          <w:szCs w:val="20"/>
        </w:rPr>
        <w:t>(Internet Explorer)보다는 크롬(Chrome) 사용을 권장합니다</w:t>
      </w:r>
    </w:p>
    <w:p w:rsidR="00F96D26" w:rsidRPr="00F96D26" w:rsidRDefault="00F96D26" w:rsidP="00F96D26">
      <w:pPr>
        <w:pStyle w:val="a3"/>
        <w:shd w:val="clear" w:color="auto" w:fill="FFFFFF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3)</w:t>
      </w:r>
      <w:r w:rsidRPr="00F96D26">
        <w:rPr>
          <w:rFonts w:asciiTheme="minorEastAsia" w:eastAsiaTheme="minorEastAsia" w:hAnsiTheme="minorEastAsia"/>
          <w:sz w:val="20"/>
          <w:szCs w:val="20"/>
        </w:rPr>
        <w:t xml:space="preserve"> 발신자가 불분명한 </w:t>
      </w:r>
      <w:proofErr w:type="spellStart"/>
      <w:r w:rsidRPr="00F96D26">
        <w:rPr>
          <w:rFonts w:asciiTheme="minorEastAsia" w:eastAsiaTheme="minorEastAsia" w:hAnsiTheme="minorEastAsia"/>
          <w:sz w:val="20"/>
          <w:szCs w:val="20"/>
        </w:rPr>
        <w:t>이메일</w:t>
      </w:r>
      <w:proofErr w:type="spellEnd"/>
      <w:r w:rsidRPr="00F96D26">
        <w:rPr>
          <w:rFonts w:asciiTheme="minorEastAsia" w:eastAsiaTheme="minorEastAsia" w:hAnsiTheme="minorEastAsia"/>
          <w:sz w:val="20"/>
          <w:szCs w:val="20"/>
        </w:rPr>
        <w:t xml:space="preserve"> 열람 및 첨부파일 실행을 자제합니다. 최근 악성코드에 감염된 사용자의 메일 계정을 사용해 악성코드를 첨부한 후 메일을 발송하는 경우가 있습니다. 모르는 메일은 삭제하고 특히 첨부 링크는 실행하지 않아야 합니다.</w:t>
      </w:r>
    </w:p>
    <w:p w:rsidR="00F96D26" w:rsidRPr="00F96D26" w:rsidRDefault="00F96D26" w:rsidP="00F96D26">
      <w:pPr>
        <w:pStyle w:val="a3"/>
        <w:shd w:val="clear" w:color="auto" w:fill="FFFFFF"/>
        <w:rPr>
          <w:rFonts w:asciiTheme="minorEastAsia" w:eastAsiaTheme="minorEastAsia" w:hAnsiTheme="minorEastAsia"/>
          <w:sz w:val="20"/>
          <w:szCs w:val="20"/>
        </w:rPr>
      </w:pP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 xml:space="preserve">4) </w:t>
      </w:r>
      <w:r w:rsidRPr="00F96D26">
        <w:rPr>
          <w:rFonts w:asciiTheme="minorEastAsia" w:eastAsiaTheme="minorEastAsia" w:hAnsiTheme="minorEastAsia"/>
          <w:sz w:val="20"/>
          <w:szCs w:val="20"/>
        </w:rPr>
        <w:t xml:space="preserve"> 3</w:t>
      </w:r>
      <w:proofErr w:type="gramEnd"/>
      <w:r w:rsidRPr="00F96D26">
        <w:rPr>
          <w:rFonts w:asciiTheme="minorEastAsia" w:eastAsiaTheme="minorEastAsia" w:hAnsiTheme="minorEastAsia"/>
          <w:sz w:val="20"/>
          <w:szCs w:val="20"/>
        </w:rPr>
        <w:t xml:space="preserve">-2-1 백업 규칙을 실천합니다. </w:t>
      </w:r>
      <w:proofErr w:type="spellStart"/>
      <w:r w:rsidRPr="00F96D26">
        <w:rPr>
          <w:rFonts w:asciiTheme="minorEastAsia" w:eastAsiaTheme="minorEastAsia" w:hAnsiTheme="minorEastAsia"/>
          <w:sz w:val="20"/>
          <w:szCs w:val="20"/>
        </w:rPr>
        <w:t>클라우드와</w:t>
      </w:r>
      <w:proofErr w:type="spellEnd"/>
      <w:r w:rsidRPr="00F96D26">
        <w:rPr>
          <w:rFonts w:asciiTheme="minorEastAsia" w:eastAsiaTheme="minorEastAsia" w:hAnsiTheme="minorEastAsia"/>
          <w:sz w:val="20"/>
          <w:szCs w:val="20"/>
        </w:rPr>
        <w:t xml:space="preserve"> 같은 네트워크 </w:t>
      </w:r>
      <w:proofErr w:type="spellStart"/>
      <w:r w:rsidRPr="00F96D26">
        <w:rPr>
          <w:rFonts w:asciiTheme="minorEastAsia" w:eastAsiaTheme="minorEastAsia" w:hAnsiTheme="minorEastAsia"/>
          <w:sz w:val="20"/>
          <w:szCs w:val="20"/>
        </w:rPr>
        <w:t>연결형</w:t>
      </w:r>
      <w:proofErr w:type="spellEnd"/>
      <w:r w:rsidRPr="00F96D26">
        <w:rPr>
          <w:rFonts w:asciiTheme="minorEastAsia" w:eastAsiaTheme="minorEastAsia" w:hAnsiTheme="minorEastAsia"/>
          <w:sz w:val="20"/>
          <w:szCs w:val="20"/>
        </w:rPr>
        <w:t xml:space="preserve"> 백업만 유지할 경우, </w:t>
      </w:r>
      <w:proofErr w:type="spellStart"/>
      <w:r w:rsidRPr="00F96D26">
        <w:rPr>
          <w:rFonts w:asciiTheme="minorEastAsia" w:eastAsiaTheme="minorEastAsia" w:hAnsiTheme="minorEastAsia"/>
          <w:sz w:val="20"/>
          <w:szCs w:val="20"/>
        </w:rPr>
        <w:t>랜섬웨어</w:t>
      </w:r>
      <w:proofErr w:type="spellEnd"/>
      <w:r w:rsidRPr="00F96D26">
        <w:rPr>
          <w:rFonts w:asciiTheme="minorEastAsia" w:eastAsiaTheme="minorEastAsia" w:hAnsiTheme="minorEastAsia"/>
          <w:sz w:val="20"/>
          <w:szCs w:val="20"/>
        </w:rPr>
        <w:t xml:space="preserve"> 감염 시 해당 드라이브까지 암호화해 버리는 최악의 상황까지 갈 수 있습니다. 이를 대비해 ‘3-2-1 백업’ 규칙을 적용해 적어도 3개 이상 복사본, 2개 이상 다른 형식으로, 1개의 오프라인 복사본을 저장하는 등 번거롭지만 자체적 노력을 기울여야 할 것입니다.</w:t>
      </w:r>
    </w:p>
    <w:p w:rsidR="00F96D26" w:rsidRDefault="00F96D26" w:rsidP="00F96D26">
      <w:pPr>
        <w:pStyle w:val="a3"/>
        <w:shd w:val="clear" w:color="auto" w:fill="FFFFFF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5)</w:t>
      </w:r>
      <w:r w:rsidRPr="00F96D26">
        <w:rPr>
          <w:rFonts w:asciiTheme="minorEastAsia" w:eastAsiaTheme="minorEastAsia" w:hAnsiTheme="minorEastAsia"/>
          <w:sz w:val="20"/>
          <w:szCs w:val="20"/>
        </w:rPr>
        <w:t xml:space="preserve"> PC 및 네트워크 ‘공유 폴더’</w:t>
      </w:r>
      <w:proofErr w:type="spellStart"/>
      <w:r w:rsidRPr="00F96D26">
        <w:rPr>
          <w:rFonts w:asciiTheme="minorEastAsia" w:eastAsiaTheme="minorEastAsia" w:hAnsiTheme="minorEastAsia"/>
          <w:sz w:val="20"/>
          <w:szCs w:val="20"/>
        </w:rPr>
        <w:t>를</w:t>
      </w:r>
      <w:proofErr w:type="spellEnd"/>
      <w:r w:rsidRPr="00F96D26">
        <w:rPr>
          <w:rFonts w:asciiTheme="minorEastAsia" w:eastAsiaTheme="minorEastAsia" w:hAnsiTheme="minorEastAsia"/>
          <w:sz w:val="20"/>
          <w:szCs w:val="20"/>
        </w:rPr>
        <w:t xml:space="preserve"> 철저히 관리합니다. 사내에서 개인 PC가 </w:t>
      </w:r>
      <w:proofErr w:type="spellStart"/>
      <w:r w:rsidRPr="00F96D26">
        <w:rPr>
          <w:rFonts w:asciiTheme="minorEastAsia" w:eastAsiaTheme="minorEastAsia" w:hAnsiTheme="minorEastAsia"/>
          <w:sz w:val="20"/>
          <w:szCs w:val="20"/>
        </w:rPr>
        <w:t>랜섬웨어가</w:t>
      </w:r>
      <w:proofErr w:type="spellEnd"/>
      <w:r w:rsidRPr="00F96D26">
        <w:rPr>
          <w:rFonts w:asciiTheme="minorEastAsia" w:eastAsiaTheme="minorEastAsia" w:hAnsiTheme="minorEastAsia"/>
          <w:sz w:val="20"/>
          <w:szCs w:val="20"/>
        </w:rPr>
        <w:t xml:space="preserve"> 감염되면, 공유 폴더를 통해 전사로 퍼질 위험이 있습니다. 사내 공유 폴더 운영 시에는 해당 공유 폴더는 ‘숨김 공유 설정’을 하거나 권한 정보를 획득한 사용자만 접근할 수 있도록 설정하는 것이 안전합니다. </w:t>
      </w:r>
    </w:p>
    <w:p w:rsidR="00F96D26" w:rsidRPr="00F96D26" w:rsidRDefault="00F96D26" w:rsidP="00F96D26">
      <w:pPr>
        <w:pStyle w:val="a3"/>
        <w:shd w:val="clear" w:color="auto" w:fill="FFFFFF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6)</w:t>
      </w:r>
      <w:r w:rsidRPr="00F96D26">
        <w:rPr>
          <w:rFonts w:asciiTheme="minorEastAsia" w:eastAsiaTheme="minorEastAsia" w:hAnsiTheme="minorEastAsia"/>
          <w:sz w:val="20"/>
          <w:szCs w:val="20"/>
        </w:rPr>
        <w:t>, 백신 설치 OK, 중복 설치는 NO. 안전함에 너무 치중한 나머지 여러 개의 백신 프로그램을 설치하는 경우가 있는데, 백신 간 충돌로 악성코드를 탐지하지 못하는 결과를 초래할 수 있습니다. 따라서 한 개의 정품 백신 설치 후 제대로 관리하는 것이 중요합니다.</w:t>
      </w:r>
    </w:p>
    <w:p w:rsidR="00F96D26" w:rsidRPr="00F96D26" w:rsidRDefault="00F96D26">
      <w:pPr>
        <w:rPr>
          <w:rFonts w:asciiTheme="minorEastAsia" w:hAnsiTheme="minorEastAsia"/>
          <w:szCs w:val="20"/>
        </w:rPr>
      </w:pPr>
    </w:p>
    <w:sectPr w:rsidR="00F96D26" w:rsidRPr="00F96D26" w:rsidSect="00B805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96D26"/>
    <w:rsid w:val="00B805C9"/>
    <w:rsid w:val="00F9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D26"/>
    <w:pPr>
      <w:widowControl/>
      <w:wordWrap/>
      <w:autoSpaceDE/>
      <w:autoSpaceDN/>
      <w:spacing w:after="315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2021-06-29T08:17:00Z</dcterms:created>
  <dcterms:modified xsi:type="dcterms:W3CDTF">2021-06-29T08:23:00Z</dcterms:modified>
</cp:coreProperties>
</file>