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92A" w:rsidRPr="0052692A" w:rsidRDefault="0052692A" w:rsidP="0052692A">
      <w:pPr>
        <w:widowControl/>
        <w:wordWrap/>
        <w:autoSpaceDE/>
        <w:autoSpaceDN/>
        <w:spacing w:before="150" w:after="300" w:line="240" w:lineRule="auto"/>
        <w:jc w:val="left"/>
        <w:outlineLvl w:val="0"/>
        <w:rPr>
          <w:rFonts w:ascii="맑은 고딕" w:eastAsia="맑은 고딕" w:hAnsi="맑은 고딕" w:cs="굴림"/>
          <w:b/>
          <w:bCs/>
          <w:color w:val="565665"/>
          <w:kern w:val="36"/>
          <w:sz w:val="30"/>
          <w:szCs w:val="30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36"/>
          <w:sz w:val="30"/>
          <w:szCs w:val="30"/>
        </w:rPr>
        <w:t>문제 1</w:t>
      </w:r>
      <w:bookmarkStart w:id="0" w:name="_GoBack"/>
      <w:bookmarkEnd w:id="0"/>
    </w:p>
    <w:p w:rsid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 1. 디지털 포렌식 종류를 </w:t>
      </w:r>
      <w:proofErr w:type="spellStart"/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(20점)</w:t>
      </w:r>
    </w:p>
    <w:p w:rsidR="0052692A" w:rsidRP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컴퓨터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법과학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: USB 드라이브, SD 드라이브 등등 복원</w:t>
      </w:r>
    </w:p>
    <w:p w:rsidR="0052692A" w:rsidRP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모바일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장치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법과학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: 내장된 </w:t>
      </w:r>
      <w:proofErr w:type="gram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GPS /</w:t>
      </w:r>
      <w:proofErr w:type="gram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위치 추적 또는 셀 사이트 로그 범위 추적, 내장된 통신 시스템(예: GSM)</w:t>
      </w:r>
    </w:p>
    <w:p w:rsidR="0052692A" w:rsidRP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네트워크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법과학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: 정보 수집 및 로컬 및 WAN/인터넷의 네트워크 트래픽을 모니터링하고 분석 패킷 레벨 분석법</w:t>
      </w:r>
    </w:p>
    <w:p w:rsidR="0052692A" w:rsidRP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데이터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분석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법과학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: 금융 범죄로 인한 사기 행위 패턴을 발견 분석 구조화된 데이터 조사</w:t>
      </w:r>
    </w:p>
    <w:p w:rsid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데이터베이스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법과학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: 데이터베이스와 관련된 </w:t>
      </w:r>
      <w:proofErr w:type="gram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포렌식 /</w:t>
      </w:r>
      <w:proofErr w:type="gram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인로그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, 데이터베이스 내용. RAM의 타임라인 구축 및 복구</w:t>
      </w:r>
    </w:p>
    <w:p w:rsidR="0052692A" w:rsidRDefault="0052692A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br/>
        <w:t xml:space="preserve">문항 2. 디지털 포렌식 대상물의 특징을 </w:t>
      </w:r>
      <w:proofErr w:type="spellStart"/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(30점)</w:t>
      </w:r>
    </w:p>
    <w:p w:rsidR="0052692A" w:rsidRDefault="003F0BC2" w:rsidP="0052692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3F0BC2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drawing>
          <wp:inline distT="0" distB="0" distL="0" distR="0" wp14:anchorId="2E5C49FA" wp14:editId="1AEF8F98">
            <wp:extent cx="5731510" cy="2852420"/>
            <wp:effectExtent l="0" t="0" r="254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2A"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br/>
      </w:r>
      <w:r w:rsidR="0052692A"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br/>
        <w:t xml:space="preserve">문항 3. 디지털 포렌식 5대 원칙을 </w:t>
      </w:r>
      <w:proofErr w:type="spellStart"/>
      <w:r w:rsidR="0052692A"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="0052692A"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(50점)</w:t>
      </w:r>
    </w:p>
    <w:p w:rsidR="0052692A" w:rsidRDefault="0052692A" w:rsidP="0052692A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정당성의 원칙- 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획득한 증거 자료가 적법한 절차를 준수해야 하며, 위법한 방법으로 수집된 증거는 법적 효력을 상실한다.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lastRenderedPageBreak/>
        <w:t>2) 독수 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독과이론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- 위법하게 수집된 증거(독수)에 의하여 발견된 제2차 증거(독과)의 증거능력은 인정할 수 없다는 이론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2. 무결성의 원칙- 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수집 증거가 위,</w:t>
      </w:r>
      <w:r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변조되지 않았음을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증멸할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수 있어야 한다.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일반적으로 수집 당시의 데이터 hash 값과 법정 제출 시점 데이터의 hash 값이 같다면 hash 함수의 특성에 따라 무결성을 입증이를 입증하기위해 경우에</w:t>
      </w:r>
      <w:r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 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따라서 현장에 입장하는 시점부터 조사가 끝나는 시점까지 동영상으로 촬영하거나 사진으로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찍어두는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경</w:t>
      </w: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우도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있음※ 해시(hash) 함수란? (참고, MD5의 경우 128bit, SHA-1의 경우 160bit로 출력됨)-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평문을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해시 알고리즘을 통하여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해시값으로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출력하는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것특정한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키를 사용하지 않기 때문에 동일한 문장에 대해 동일한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해시값으로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출력하며, 문장이 조금만 변해도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해시값이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달라지게 됨. 또한 해시함수의 종류에 따라 출력되는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해시값의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길이가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달라짐예컨대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, '포렌식'의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해시값이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'155F01'라면 '포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렌식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'의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해시값은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'14A3E5'으로 약간의 변</w:t>
      </w:r>
      <w:r w:rsidRPr="0052692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화에도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완전 다른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해시값이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출력됨</w:t>
      </w:r>
    </w:p>
    <w:p w:rsidR="0052692A" w:rsidRDefault="0052692A" w:rsidP="0052692A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재현의 원칙- 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피해 직전과 같은 조건에서 현장 검증을 실시하거나, 재판이나 법정의 검증과정에서도 동일한 결과가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나와야한다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. 예컨대, 불법 해킹 용의자의 해킹 툴이 증거능력을 가지기 위해서는 같은 상황의 피해시스템에 툴을 적용할 경우 피해 결과와 일치하는 결과가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나와야한다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.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4. 신속성의 원칙- 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휘발성 증거의 수집 여부는 신속한 조치에 의해 결정되므로 모든 과정은 지체없이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진행되야한다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.</w:t>
      </w:r>
    </w:p>
    <w:p w:rsid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5. 절차 연속성의 원칙</w:t>
      </w:r>
      <w:r w:rsidRPr="0052692A">
        <w:t xml:space="preserve"> </w:t>
      </w:r>
      <w:r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–</w:t>
      </w: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</w:p>
    <w:p w:rsidR="0052692A" w:rsidRP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증거물 획득 -&gt; 이송 -&gt; 분석 -&gt; 보관 -&gt; 법정 제출의 각 단계에서 담당자 및 책임자를 명확히 </w:t>
      </w:r>
      <w:proofErr w:type="spellStart"/>
      <w:proofErr w:type="gram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해야한다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.-</w:t>
      </w:r>
      <w:proofErr w:type="gram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수집된 저장매체가 이동단계에서 물리적 손상이 발생하였다면, 이동 담당자는 이를 확인하고 해당 내용을 정확히 인수 인계하여 이후의 단계에서 적절한 조치가 취해지도록 </w:t>
      </w:r>
      <w:proofErr w:type="spellStart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해야한다</w:t>
      </w:r>
      <w:proofErr w:type="spellEnd"/>
      <w:r w:rsidRPr="0052692A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.</w:t>
      </w:r>
    </w:p>
    <w:p w:rsidR="0052692A" w:rsidRPr="0052692A" w:rsidRDefault="0052692A" w:rsidP="0052692A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</w:pPr>
    </w:p>
    <w:p w:rsidR="002C603D" w:rsidRDefault="002C603D"/>
    <w:sectPr w:rsidR="002C60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17A85"/>
    <w:multiLevelType w:val="hybridMultilevel"/>
    <w:tmpl w:val="6706BDAA"/>
    <w:lvl w:ilvl="0" w:tplc="8AAEDA1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483433D2"/>
    <w:multiLevelType w:val="hybridMultilevel"/>
    <w:tmpl w:val="576410A6"/>
    <w:lvl w:ilvl="0" w:tplc="04BAC5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C61A85"/>
    <w:multiLevelType w:val="hybridMultilevel"/>
    <w:tmpl w:val="46629062"/>
    <w:lvl w:ilvl="0" w:tplc="01BAB0D4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2A"/>
    <w:rsid w:val="002C603D"/>
    <w:rsid w:val="003F0BC2"/>
    <w:rsid w:val="005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042A"/>
  <w15:chartTrackingRefBased/>
  <w15:docId w15:val="{EA6A3E26-D3A3-4FB3-870C-4283E93C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2692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2692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2692A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52692A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52692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1023</Characters>
  <Application>Microsoft Office Word</Application>
  <DocSecurity>0</DocSecurity>
  <Lines>68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 찬진</dc:creator>
  <cp:keywords/>
  <dc:description/>
  <cp:lastModifiedBy>진 찬진</cp:lastModifiedBy>
  <cp:revision>1</cp:revision>
  <dcterms:created xsi:type="dcterms:W3CDTF">2022-09-29T06:16:00Z</dcterms:created>
  <dcterms:modified xsi:type="dcterms:W3CDTF">2022-09-29T06:30:00Z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3fd95e94-05ae-4907-b8f0-e5849ebf8467</vt:lpwstr>
  </property>
</Properties>
</file>